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5FA" w:rsidRPr="00A335E7" w:rsidRDefault="00C20573" w:rsidP="00C20573">
      <w:pPr>
        <w:pStyle w:val="ab"/>
        <w:spacing w:before="0" w:line="360" w:lineRule="auto"/>
        <w:outlineLvl w:val="9"/>
        <w:rPr>
          <w:rFonts w:ascii="宋体" w:hAnsi="宋体" w:cs="宋体"/>
          <w:kern w:val="2"/>
          <w:sz w:val="44"/>
          <w:szCs w:val="44"/>
        </w:rPr>
      </w:pPr>
      <w:r w:rsidRPr="00A335E7">
        <w:rPr>
          <w:rFonts w:ascii="宋体" w:hAnsi="宋体" w:cs="宋体" w:hint="eastAsia"/>
          <w:kern w:val="2"/>
          <w:sz w:val="44"/>
          <w:szCs w:val="44"/>
        </w:rPr>
        <w:t>金华-义乌-东阳市域轨道交通工程秦塘站A、B出入口近期工程</w:t>
      </w:r>
      <w:r w:rsidR="00FE1F79">
        <w:rPr>
          <w:rFonts w:ascii="宋体" w:hAnsi="宋体" w:cs="宋体" w:hint="eastAsia"/>
          <w:kern w:val="2"/>
          <w:sz w:val="44"/>
          <w:szCs w:val="44"/>
        </w:rPr>
        <w:t>比选</w:t>
      </w:r>
      <w:r w:rsidR="00940A1B" w:rsidRPr="00A335E7">
        <w:rPr>
          <w:rFonts w:ascii="宋体" w:hAnsi="宋体" w:cs="宋体" w:hint="eastAsia"/>
          <w:kern w:val="2"/>
          <w:sz w:val="44"/>
          <w:szCs w:val="44"/>
        </w:rPr>
        <w:t>补充文件一</w:t>
      </w:r>
    </w:p>
    <w:p w:rsidR="001D65FA" w:rsidRPr="00A335E7" w:rsidRDefault="001D65FA">
      <w:pPr>
        <w:pStyle w:val="a4"/>
        <w:spacing w:line="360" w:lineRule="exact"/>
        <w:ind w:firstLine="0"/>
        <w:rPr>
          <w:sz w:val="28"/>
          <w:szCs w:val="28"/>
        </w:rPr>
      </w:pPr>
    </w:p>
    <w:p w:rsidR="001D65FA" w:rsidRPr="002C3EFA" w:rsidRDefault="00940A1B" w:rsidP="002C3EFA">
      <w:pPr>
        <w:pStyle w:val="a4"/>
        <w:spacing w:line="360" w:lineRule="auto"/>
        <w:ind w:firstLineChars="200" w:firstLine="480"/>
        <w:rPr>
          <w:rFonts w:ascii="Calibri" w:eastAsiaTheme="minorEastAsia" w:hAnsi="Calibri" w:cstheme="minorBidi"/>
          <w:kern w:val="2"/>
          <w:sz w:val="24"/>
        </w:rPr>
      </w:pPr>
      <w:r w:rsidRPr="002C3EFA">
        <w:rPr>
          <w:rFonts w:ascii="Calibri" w:eastAsiaTheme="minorEastAsia" w:hAnsi="Calibri" w:cstheme="minorBidi" w:hint="eastAsia"/>
          <w:kern w:val="2"/>
          <w:sz w:val="24"/>
        </w:rPr>
        <w:t>致：各</w:t>
      </w:r>
      <w:r w:rsidR="00C20573" w:rsidRPr="002C3EFA">
        <w:rPr>
          <w:rFonts w:ascii="Calibri" w:eastAsiaTheme="minorEastAsia" w:hAnsi="Calibri" w:cstheme="minorBidi" w:hint="eastAsia"/>
          <w:kern w:val="2"/>
          <w:sz w:val="24"/>
        </w:rPr>
        <w:t>参选</w:t>
      </w:r>
      <w:r w:rsidRPr="002C3EFA">
        <w:rPr>
          <w:rFonts w:ascii="Calibri" w:eastAsiaTheme="minorEastAsia" w:hAnsi="Calibri" w:cstheme="minorBidi" w:hint="eastAsia"/>
          <w:kern w:val="2"/>
          <w:sz w:val="24"/>
        </w:rPr>
        <w:t>人</w:t>
      </w:r>
    </w:p>
    <w:p w:rsidR="002F4CC0" w:rsidRPr="002C3EFA" w:rsidRDefault="00940A1B" w:rsidP="002C3EFA">
      <w:pPr>
        <w:pStyle w:val="a4"/>
        <w:spacing w:line="360" w:lineRule="auto"/>
        <w:ind w:firstLineChars="200" w:firstLine="480"/>
        <w:rPr>
          <w:rFonts w:ascii="Calibri" w:eastAsiaTheme="minorEastAsia" w:hAnsi="Calibri" w:cstheme="minorBidi"/>
          <w:kern w:val="2"/>
          <w:sz w:val="24"/>
        </w:rPr>
      </w:pPr>
      <w:r w:rsidRPr="002C3EFA">
        <w:rPr>
          <w:rFonts w:ascii="Calibri" w:eastAsiaTheme="minorEastAsia" w:hAnsi="Calibri" w:cstheme="minorBidi" w:hint="eastAsia"/>
          <w:kern w:val="2"/>
          <w:sz w:val="24"/>
        </w:rPr>
        <w:t>现</w:t>
      </w:r>
      <w:r w:rsidR="00C20573" w:rsidRPr="002C3EFA">
        <w:rPr>
          <w:rFonts w:ascii="Calibri" w:eastAsiaTheme="minorEastAsia" w:hAnsi="Calibri" w:cstheme="minorBidi" w:hint="eastAsia"/>
          <w:kern w:val="2"/>
          <w:sz w:val="24"/>
        </w:rPr>
        <w:t>将本项目</w:t>
      </w:r>
      <w:r w:rsidR="00A335E7" w:rsidRPr="002C3EFA">
        <w:rPr>
          <w:rFonts w:ascii="Calibri" w:eastAsiaTheme="minorEastAsia" w:hAnsi="Calibri" w:cstheme="minorBidi" w:hint="eastAsia"/>
          <w:kern w:val="2"/>
          <w:sz w:val="24"/>
        </w:rPr>
        <w:t>相关</w:t>
      </w:r>
      <w:r w:rsidR="002C3EFA" w:rsidRPr="002C3EFA">
        <w:rPr>
          <w:rFonts w:ascii="Calibri" w:eastAsiaTheme="minorEastAsia" w:hAnsi="Calibri" w:cstheme="minorBidi" w:hint="eastAsia"/>
          <w:kern w:val="2"/>
          <w:sz w:val="24"/>
        </w:rPr>
        <w:t>图纸内容</w:t>
      </w:r>
      <w:r w:rsidR="00C20573" w:rsidRPr="002C3EFA">
        <w:rPr>
          <w:rFonts w:ascii="Calibri" w:eastAsiaTheme="minorEastAsia" w:hAnsi="Calibri" w:cstheme="minorBidi" w:hint="eastAsia"/>
          <w:kern w:val="2"/>
          <w:sz w:val="24"/>
        </w:rPr>
        <w:t>补充</w:t>
      </w:r>
      <w:r w:rsidR="002C3EFA">
        <w:rPr>
          <w:rFonts w:ascii="Calibri" w:eastAsiaTheme="minorEastAsia" w:hAnsi="Calibri" w:cstheme="minorBidi" w:hint="eastAsia"/>
          <w:kern w:val="2"/>
          <w:sz w:val="24"/>
        </w:rPr>
        <w:t>说明</w:t>
      </w:r>
      <w:r w:rsidR="00C20573" w:rsidRPr="002C3EFA">
        <w:rPr>
          <w:rFonts w:ascii="Calibri" w:eastAsiaTheme="minorEastAsia" w:hAnsi="Calibri" w:cstheme="minorBidi" w:hint="eastAsia"/>
          <w:kern w:val="2"/>
          <w:sz w:val="24"/>
        </w:rPr>
        <w:t>，具体</w:t>
      </w:r>
      <w:r w:rsidR="002F4CC0" w:rsidRPr="002C3EFA">
        <w:rPr>
          <w:rFonts w:ascii="Calibri" w:eastAsiaTheme="minorEastAsia" w:hAnsi="Calibri" w:cstheme="minorBidi" w:hint="eastAsia"/>
          <w:kern w:val="2"/>
          <w:sz w:val="24"/>
        </w:rPr>
        <w:t>如下：</w:t>
      </w:r>
    </w:p>
    <w:p w:rsidR="002C3EFA" w:rsidRPr="002C3EFA" w:rsidRDefault="002C3EFA" w:rsidP="002C3EFA">
      <w:pPr>
        <w:numPr>
          <w:ilvl w:val="0"/>
          <w:numId w:val="1"/>
        </w:numPr>
        <w:spacing w:line="360" w:lineRule="auto"/>
        <w:rPr>
          <w:rFonts w:ascii="Calibri" w:hAnsi="Calibri" w:hint="eastAsia"/>
          <w:sz w:val="24"/>
        </w:rPr>
      </w:pPr>
      <w:r>
        <w:rPr>
          <w:rFonts w:ascii="Calibri" w:hAnsi="Calibri" w:hint="eastAsia"/>
          <w:sz w:val="24"/>
        </w:rPr>
        <w:t>JYD</w:t>
      </w:r>
      <w:r>
        <w:rPr>
          <w:rFonts w:ascii="Calibri" w:hAnsi="Calibri" w:hint="eastAsia"/>
          <w:sz w:val="24"/>
        </w:rPr>
        <w:t>·</w:t>
      </w:r>
      <w:r>
        <w:rPr>
          <w:rFonts w:ascii="Calibri" w:hAnsi="Calibri" w:hint="eastAsia"/>
          <w:sz w:val="24"/>
        </w:rPr>
        <w:t>04</w:t>
      </w:r>
      <w:r>
        <w:rPr>
          <w:rFonts w:ascii="Calibri" w:hAnsi="Calibri" w:hint="eastAsia"/>
          <w:sz w:val="24"/>
        </w:rPr>
        <w:t>·</w:t>
      </w:r>
      <w:r>
        <w:rPr>
          <w:rFonts w:ascii="Calibri" w:hAnsi="Calibri" w:hint="eastAsia"/>
          <w:sz w:val="24"/>
        </w:rPr>
        <w:t>19-S-JG-02</w:t>
      </w:r>
      <w:r>
        <w:rPr>
          <w:rFonts w:ascii="Calibri" w:hAnsi="Calibri" w:hint="eastAsia"/>
          <w:sz w:val="24"/>
        </w:rPr>
        <w:t>·</w:t>
      </w:r>
      <w:r>
        <w:rPr>
          <w:rFonts w:ascii="Calibri" w:hAnsi="Calibri" w:hint="eastAsia"/>
          <w:sz w:val="24"/>
        </w:rPr>
        <w:t>03</w:t>
      </w:r>
      <w:r>
        <w:rPr>
          <w:rFonts w:ascii="Calibri" w:hAnsi="Calibri" w:hint="eastAsia"/>
          <w:sz w:val="24"/>
        </w:rPr>
        <w:t>·</w:t>
      </w:r>
      <w:r>
        <w:rPr>
          <w:rFonts w:ascii="Calibri" w:hAnsi="Calibri" w:hint="eastAsia"/>
          <w:sz w:val="24"/>
        </w:rPr>
        <w:t>02-018</w:t>
      </w:r>
      <w:r>
        <w:rPr>
          <w:rFonts w:ascii="Calibri" w:hAnsi="Calibri" w:hint="eastAsia"/>
          <w:sz w:val="24"/>
        </w:rPr>
        <w:t>图中，</w:t>
      </w:r>
      <w:r>
        <w:rPr>
          <w:rFonts w:ascii="Calibri" w:hAnsi="Calibri" w:hint="eastAsia"/>
          <w:sz w:val="24"/>
        </w:rPr>
        <w:t>AW1</w:t>
      </w:r>
      <w:r>
        <w:rPr>
          <w:rFonts w:ascii="Calibri" w:hAnsi="Calibri" w:hint="eastAsia"/>
          <w:sz w:val="24"/>
        </w:rPr>
        <w:t>侧墙配筋展开图与平面图相互不一致，</w:t>
      </w:r>
      <w:r>
        <w:rPr>
          <w:rFonts w:ascii="Calibri" w:hAnsi="Calibri" w:hint="eastAsia"/>
          <w:sz w:val="24"/>
        </w:rPr>
        <w:t>15~16</w:t>
      </w:r>
      <w:r>
        <w:rPr>
          <w:rFonts w:ascii="Calibri" w:hAnsi="Calibri" w:hint="eastAsia"/>
          <w:sz w:val="24"/>
        </w:rPr>
        <w:t>轴处墙顶与</w:t>
      </w:r>
      <w:r>
        <w:rPr>
          <w:rFonts w:ascii="Calibri" w:hAnsi="Calibri" w:hint="eastAsia"/>
          <w:sz w:val="24"/>
        </w:rPr>
        <w:t>W1</w:t>
      </w:r>
      <w:r>
        <w:rPr>
          <w:rFonts w:ascii="Calibri" w:hAnsi="Calibri" w:hint="eastAsia"/>
          <w:sz w:val="24"/>
        </w:rPr>
        <w:t>不一致：</w:t>
      </w:r>
      <w:r w:rsidRPr="002C3EFA">
        <w:rPr>
          <w:rFonts w:ascii="Calibri" w:hAnsi="Calibri" w:hint="eastAsia"/>
          <w:sz w:val="24"/>
        </w:rPr>
        <w:t>以平面为准，此处墙顶绝对标高按</w:t>
      </w:r>
      <w:r w:rsidRPr="002C3EFA">
        <w:rPr>
          <w:rFonts w:ascii="Calibri" w:hAnsi="Calibri" w:hint="eastAsia"/>
          <w:sz w:val="24"/>
        </w:rPr>
        <w:t>67.650</w:t>
      </w:r>
      <w:r w:rsidRPr="002C3EFA">
        <w:rPr>
          <w:rFonts w:ascii="Calibri" w:hAnsi="Calibri" w:hint="eastAsia"/>
          <w:sz w:val="24"/>
        </w:rPr>
        <w:t>执行。</w:t>
      </w:r>
    </w:p>
    <w:p w:rsidR="002C3EFA" w:rsidRDefault="002C3EFA" w:rsidP="002C3EFA">
      <w:pPr>
        <w:spacing w:line="360" w:lineRule="auto"/>
        <w:rPr>
          <w:rFonts w:ascii="Calibri" w:hAnsi="Calibri" w:hint="eastAsia"/>
          <w:sz w:val="24"/>
        </w:rPr>
      </w:pPr>
      <w:r>
        <w:rPr>
          <w:rFonts w:ascii="Calibri" w:hAnsi="Calibri" w:hint="eastAsia"/>
          <w:noProof/>
          <w:sz w:val="24"/>
        </w:rPr>
        <w:drawing>
          <wp:anchor distT="0" distB="0" distL="114300" distR="114300" simplePos="0" relativeHeight="251661312" behindDoc="0" locked="0" layoutInCell="1" allowOverlap="1">
            <wp:simplePos x="0" y="0"/>
            <wp:positionH relativeFrom="column">
              <wp:posOffset>343535</wp:posOffset>
            </wp:positionH>
            <wp:positionV relativeFrom="paragraph">
              <wp:posOffset>62865</wp:posOffset>
            </wp:positionV>
            <wp:extent cx="4227195" cy="2782570"/>
            <wp:effectExtent l="19050" t="0" r="1905" b="0"/>
            <wp:wrapNone/>
            <wp:docPr id="20" name="图片 5" descr="16442364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1644236407(1)"/>
                    <pic:cNvPicPr>
                      <a:picLocks noChangeAspect="1" noChangeArrowheads="1"/>
                    </pic:cNvPicPr>
                  </pic:nvPicPr>
                  <pic:blipFill>
                    <a:blip r:embed="rId8"/>
                    <a:srcRect/>
                    <a:stretch>
                      <a:fillRect/>
                    </a:stretch>
                  </pic:blipFill>
                  <pic:spPr bwMode="auto">
                    <a:xfrm>
                      <a:off x="0" y="0"/>
                      <a:ext cx="4227195" cy="2782570"/>
                    </a:xfrm>
                    <a:prstGeom prst="rect">
                      <a:avLst/>
                    </a:prstGeom>
                    <a:noFill/>
                    <a:ln w="9525">
                      <a:noFill/>
                      <a:miter lim="800000"/>
                      <a:headEnd/>
                      <a:tailEnd/>
                    </a:ln>
                    <a:effectLst/>
                  </pic:spPr>
                </pic:pic>
              </a:graphicData>
            </a:graphic>
          </wp:anchor>
        </w:drawing>
      </w: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Pr="002C3EFA" w:rsidRDefault="002C3EFA" w:rsidP="002C3EFA">
      <w:pPr>
        <w:numPr>
          <w:ilvl w:val="0"/>
          <w:numId w:val="1"/>
        </w:numPr>
        <w:spacing w:line="360" w:lineRule="auto"/>
        <w:rPr>
          <w:rFonts w:ascii="Calibri" w:hAnsi="Calibri"/>
          <w:sz w:val="24"/>
        </w:rPr>
      </w:pPr>
      <w:r>
        <w:rPr>
          <w:rFonts w:ascii="Calibri" w:hAnsi="Calibri" w:hint="eastAsia"/>
          <w:sz w:val="24"/>
        </w:rPr>
        <w:t>补充主体结构与二期接驳处的镀锌钢板止水板的规格型号及技术要求：</w:t>
      </w:r>
      <w:r w:rsidRPr="002C3EFA">
        <w:rPr>
          <w:rFonts w:ascii="Calibri" w:hAnsi="Calibri" w:hint="eastAsia"/>
          <w:sz w:val="24"/>
        </w:rPr>
        <w:t>止水钢板为</w:t>
      </w:r>
      <w:r w:rsidRPr="002C3EFA">
        <w:rPr>
          <w:rFonts w:ascii="Calibri" w:hAnsi="Calibri" w:hint="eastAsia"/>
          <w:sz w:val="24"/>
        </w:rPr>
        <w:t>400mm</w:t>
      </w:r>
      <w:r w:rsidRPr="002C3EFA">
        <w:rPr>
          <w:rFonts w:ascii="Calibri" w:hAnsi="Calibri" w:hint="eastAsia"/>
          <w:sz w:val="24"/>
        </w:rPr>
        <w:t>宽，</w:t>
      </w:r>
      <w:r w:rsidRPr="002C3EFA">
        <w:rPr>
          <w:rFonts w:ascii="Calibri" w:hAnsi="Calibri" w:hint="eastAsia"/>
          <w:sz w:val="24"/>
        </w:rPr>
        <w:t>4mm</w:t>
      </w:r>
      <w:r w:rsidRPr="002C3EFA">
        <w:rPr>
          <w:rFonts w:ascii="Calibri" w:hAnsi="Calibri" w:hint="eastAsia"/>
          <w:sz w:val="24"/>
        </w:rPr>
        <w:t>厚镀锌钢板，具体详见本站施工图</w:t>
      </w:r>
      <w:r w:rsidRPr="002C3EFA">
        <w:rPr>
          <w:rFonts w:ascii="Calibri" w:hAnsi="Calibri" w:hint="eastAsia"/>
          <w:sz w:val="24"/>
        </w:rPr>
        <w:t xml:space="preserve"> </w:t>
      </w:r>
      <w:r w:rsidRPr="002C3EFA">
        <w:rPr>
          <w:rFonts w:ascii="Calibri" w:hAnsi="Calibri" w:hint="eastAsia"/>
          <w:sz w:val="24"/>
        </w:rPr>
        <w:t>第四部分</w:t>
      </w:r>
      <w:r w:rsidRPr="002C3EFA">
        <w:rPr>
          <w:rFonts w:ascii="Calibri" w:hAnsi="Calibri" w:hint="eastAsia"/>
          <w:sz w:val="24"/>
        </w:rPr>
        <w:t xml:space="preserve"> </w:t>
      </w:r>
      <w:r w:rsidRPr="002C3EFA">
        <w:rPr>
          <w:rFonts w:ascii="Calibri" w:hAnsi="Calibri" w:hint="eastAsia"/>
          <w:sz w:val="24"/>
        </w:rPr>
        <w:t>结构防水（一）图册。</w:t>
      </w:r>
    </w:p>
    <w:p w:rsidR="002C3EFA" w:rsidRPr="002C3EFA" w:rsidRDefault="002C3EFA" w:rsidP="002C3EFA">
      <w:pPr>
        <w:numPr>
          <w:ilvl w:val="0"/>
          <w:numId w:val="1"/>
        </w:numPr>
        <w:spacing w:line="360" w:lineRule="auto"/>
        <w:jc w:val="left"/>
        <w:rPr>
          <w:rFonts w:ascii="Calibri" w:hAnsi="Calibri"/>
          <w:sz w:val="24"/>
        </w:rPr>
      </w:pPr>
      <w:r>
        <w:rPr>
          <w:rFonts w:ascii="Calibri" w:hAnsi="Calibri" w:hint="eastAsia"/>
          <w:sz w:val="24"/>
        </w:rPr>
        <w:t>补充过梁做法：</w:t>
      </w:r>
      <w:r w:rsidRPr="002C3EFA">
        <w:rPr>
          <w:rFonts w:ascii="Calibri" w:hAnsi="Calibri" w:hint="eastAsia"/>
          <w:sz w:val="24"/>
        </w:rPr>
        <w:t>过梁配筋按下图所示：</w:t>
      </w:r>
      <w:r>
        <w:rPr>
          <w:noProof/>
        </w:rPr>
        <w:drawing>
          <wp:inline distT="0" distB="0" distL="0" distR="0">
            <wp:extent cx="5143500" cy="3009900"/>
            <wp:effectExtent l="1905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5143500" cy="3009900"/>
                    </a:xfrm>
                    <a:prstGeom prst="rect">
                      <a:avLst/>
                    </a:prstGeom>
                    <a:noFill/>
                    <a:ln w="9525" cmpd="sng">
                      <a:noFill/>
                      <a:miter lim="800000"/>
                      <a:headEnd/>
                      <a:tailEnd/>
                    </a:ln>
                  </pic:spPr>
                </pic:pic>
              </a:graphicData>
            </a:graphic>
          </wp:inline>
        </w:drawing>
      </w:r>
    </w:p>
    <w:p w:rsidR="002C3EFA" w:rsidRDefault="002C3EFA" w:rsidP="002C3EFA">
      <w:pPr>
        <w:spacing w:line="360" w:lineRule="auto"/>
        <w:rPr>
          <w:rFonts w:ascii="Calibri" w:hAnsi="Calibri" w:hint="eastAsia"/>
          <w:color w:val="FF0000"/>
          <w:sz w:val="24"/>
        </w:rPr>
      </w:pPr>
    </w:p>
    <w:p w:rsidR="002C3EFA" w:rsidRPr="002C3EFA" w:rsidRDefault="002C3EFA" w:rsidP="002C3EFA">
      <w:pPr>
        <w:numPr>
          <w:ilvl w:val="0"/>
          <w:numId w:val="1"/>
        </w:numPr>
        <w:spacing w:line="360" w:lineRule="auto"/>
        <w:rPr>
          <w:rFonts w:ascii="Calibri" w:hAnsi="Calibri" w:hint="eastAsia"/>
          <w:sz w:val="24"/>
        </w:rPr>
      </w:pPr>
      <w:r>
        <w:rPr>
          <w:rFonts w:ascii="Calibri" w:hAnsi="Calibri" w:hint="eastAsia"/>
          <w:sz w:val="24"/>
        </w:rPr>
        <w:t>补充门套做法详图：</w:t>
      </w:r>
      <w:r w:rsidRPr="002C3EFA">
        <w:rPr>
          <w:rFonts w:ascii="Calibri" w:hAnsi="Calibri" w:hint="eastAsia"/>
          <w:sz w:val="24"/>
        </w:rPr>
        <w:t>详见附图</w:t>
      </w:r>
      <w:r w:rsidRPr="002C3EFA">
        <w:rPr>
          <w:rFonts w:ascii="Calibri" w:hAnsi="Calibri" w:hint="eastAsia"/>
          <w:sz w:val="24"/>
        </w:rPr>
        <w:t>JYD</w:t>
      </w:r>
      <w:r w:rsidRPr="002C3EFA">
        <w:rPr>
          <w:rFonts w:ascii="Calibri" w:hAnsi="Calibri" w:hint="eastAsia"/>
          <w:sz w:val="24"/>
        </w:rPr>
        <w:t>·</w:t>
      </w:r>
      <w:r w:rsidRPr="002C3EFA">
        <w:rPr>
          <w:rFonts w:ascii="Calibri" w:hAnsi="Calibri" w:hint="eastAsia"/>
          <w:sz w:val="24"/>
        </w:rPr>
        <w:t>04</w:t>
      </w:r>
      <w:r w:rsidRPr="002C3EFA">
        <w:rPr>
          <w:rFonts w:ascii="Calibri" w:hAnsi="Calibri" w:hint="eastAsia"/>
          <w:sz w:val="24"/>
        </w:rPr>
        <w:t>·</w:t>
      </w:r>
      <w:r w:rsidRPr="002C3EFA">
        <w:rPr>
          <w:rFonts w:ascii="Calibri" w:hAnsi="Calibri" w:hint="eastAsia"/>
          <w:sz w:val="24"/>
        </w:rPr>
        <w:t>19-S-JZ-01</w:t>
      </w:r>
      <w:r w:rsidRPr="002C3EFA">
        <w:rPr>
          <w:rFonts w:ascii="Calibri" w:hAnsi="Calibri" w:hint="eastAsia"/>
          <w:sz w:val="24"/>
        </w:rPr>
        <w:t>·</w:t>
      </w:r>
      <w:r w:rsidRPr="002C3EFA">
        <w:rPr>
          <w:rFonts w:ascii="Calibri" w:hAnsi="Calibri" w:hint="eastAsia"/>
          <w:sz w:val="24"/>
        </w:rPr>
        <w:t>04</w:t>
      </w:r>
      <w:r w:rsidRPr="002C3EFA">
        <w:rPr>
          <w:rFonts w:ascii="Calibri" w:hAnsi="Calibri" w:hint="eastAsia"/>
          <w:sz w:val="24"/>
        </w:rPr>
        <w:t>·</w:t>
      </w:r>
      <w:r w:rsidRPr="002C3EFA">
        <w:rPr>
          <w:rFonts w:ascii="Calibri" w:hAnsi="Calibri" w:hint="eastAsia"/>
          <w:sz w:val="24"/>
        </w:rPr>
        <w:t xml:space="preserve">04-011 </w:t>
      </w:r>
      <w:r w:rsidRPr="002C3EFA">
        <w:rPr>
          <w:rFonts w:ascii="Calibri" w:hAnsi="Calibri" w:hint="eastAsia"/>
          <w:sz w:val="24"/>
        </w:rPr>
        <w:t>通道搪瓷钢板门套详图。</w:t>
      </w:r>
    </w:p>
    <w:p w:rsidR="002C3EFA" w:rsidRPr="002C3EFA" w:rsidRDefault="002C3EFA" w:rsidP="002C3EFA">
      <w:pPr>
        <w:numPr>
          <w:ilvl w:val="0"/>
          <w:numId w:val="1"/>
        </w:numPr>
        <w:spacing w:line="360" w:lineRule="auto"/>
        <w:rPr>
          <w:rFonts w:ascii="Calibri" w:hAnsi="Calibri" w:hint="eastAsia"/>
          <w:sz w:val="24"/>
        </w:rPr>
      </w:pPr>
      <w:r>
        <w:rPr>
          <w:rFonts w:ascii="Calibri" w:hAnsi="Calibri" w:hint="eastAsia"/>
          <w:sz w:val="24"/>
        </w:rPr>
        <w:t>补充出入口处排水沟做法详图：</w:t>
      </w:r>
      <w:r w:rsidRPr="002C3EFA">
        <w:rPr>
          <w:rFonts w:ascii="Calibri" w:hAnsi="Calibri" w:hint="eastAsia"/>
          <w:sz w:val="24"/>
        </w:rPr>
        <w:t>详见附图</w:t>
      </w:r>
      <w:r w:rsidRPr="002C3EFA">
        <w:rPr>
          <w:rFonts w:ascii="Calibri" w:hAnsi="Calibri" w:hint="eastAsia"/>
          <w:sz w:val="24"/>
        </w:rPr>
        <w:t>JYD</w:t>
      </w:r>
      <w:r w:rsidRPr="002C3EFA">
        <w:rPr>
          <w:rFonts w:ascii="Calibri" w:hAnsi="Calibri" w:hint="eastAsia"/>
          <w:sz w:val="24"/>
        </w:rPr>
        <w:t>·</w:t>
      </w:r>
      <w:r w:rsidRPr="002C3EFA">
        <w:rPr>
          <w:rFonts w:ascii="Calibri" w:hAnsi="Calibri" w:hint="eastAsia"/>
          <w:sz w:val="24"/>
        </w:rPr>
        <w:t>04</w:t>
      </w:r>
      <w:r w:rsidRPr="002C3EFA">
        <w:rPr>
          <w:rFonts w:ascii="Calibri" w:hAnsi="Calibri" w:hint="eastAsia"/>
          <w:sz w:val="24"/>
        </w:rPr>
        <w:t>·</w:t>
      </w:r>
      <w:r w:rsidRPr="002C3EFA">
        <w:rPr>
          <w:rFonts w:ascii="Calibri" w:hAnsi="Calibri" w:hint="eastAsia"/>
          <w:sz w:val="24"/>
        </w:rPr>
        <w:t>19-S-JZ-01</w:t>
      </w:r>
      <w:r w:rsidRPr="002C3EFA">
        <w:rPr>
          <w:rFonts w:ascii="Calibri" w:hAnsi="Calibri" w:hint="eastAsia"/>
          <w:sz w:val="24"/>
        </w:rPr>
        <w:t>·</w:t>
      </w:r>
      <w:r w:rsidRPr="002C3EFA">
        <w:rPr>
          <w:rFonts w:ascii="Calibri" w:hAnsi="Calibri" w:hint="eastAsia"/>
          <w:sz w:val="24"/>
        </w:rPr>
        <w:t>04</w:t>
      </w:r>
      <w:r w:rsidRPr="002C3EFA">
        <w:rPr>
          <w:rFonts w:ascii="Calibri" w:hAnsi="Calibri" w:hint="eastAsia"/>
          <w:sz w:val="24"/>
        </w:rPr>
        <w:t>·</w:t>
      </w:r>
      <w:r w:rsidRPr="002C3EFA">
        <w:rPr>
          <w:rFonts w:ascii="Calibri" w:hAnsi="Calibri" w:hint="eastAsia"/>
          <w:sz w:val="24"/>
        </w:rPr>
        <w:t>0</w:t>
      </w:r>
      <w:r w:rsidRPr="002C3EFA">
        <w:rPr>
          <w:rFonts w:ascii="Calibri" w:hAnsi="Calibri"/>
          <w:sz w:val="24"/>
        </w:rPr>
        <w:t>2</w:t>
      </w:r>
      <w:r w:rsidRPr="002C3EFA">
        <w:rPr>
          <w:rFonts w:ascii="Calibri" w:hAnsi="Calibri" w:hint="eastAsia"/>
          <w:sz w:val="24"/>
        </w:rPr>
        <w:t>-</w:t>
      </w:r>
      <w:r w:rsidRPr="002C3EFA">
        <w:rPr>
          <w:rFonts w:ascii="Calibri" w:hAnsi="Calibri"/>
          <w:sz w:val="24"/>
        </w:rPr>
        <w:t>606</w:t>
      </w:r>
      <w:r w:rsidRPr="002C3EFA">
        <w:rPr>
          <w:rFonts w:ascii="Calibri" w:hAnsi="Calibri" w:hint="eastAsia"/>
          <w:sz w:val="24"/>
        </w:rPr>
        <w:t>站厅、通道排水沟及排水箅子详图。</w:t>
      </w:r>
    </w:p>
    <w:p w:rsidR="002C3EFA" w:rsidRPr="002C3EFA" w:rsidRDefault="002C3EFA" w:rsidP="002C3EFA">
      <w:pPr>
        <w:numPr>
          <w:ilvl w:val="0"/>
          <w:numId w:val="1"/>
        </w:numPr>
        <w:spacing w:line="360" w:lineRule="auto"/>
        <w:rPr>
          <w:rFonts w:ascii="Calibri" w:hAnsi="Calibri" w:hint="eastAsia"/>
          <w:sz w:val="24"/>
        </w:rPr>
      </w:pPr>
      <w:r>
        <w:rPr>
          <w:rFonts w:ascii="Calibri" w:hAnsi="Calibri" w:hint="eastAsia"/>
          <w:sz w:val="24"/>
        </w:rPr>
        <w:t>增加底板和外墙防水，补充防水做法：</w:t>
      </w:r>
      <w:r w:rsidRPr="002C3EFA">
        <w:rPr>
          <w:rFonts w:ascii="Calibri" w:hAnsi="Calibri" w:hint="eastAsia"/>
          <w:color w:val="000000"/>
          <w:sz w:val="24"/>
        </w:rPr>
        <w:t>具体做法详见本站施工图</w:t>
      </w:r>
      <w:r w:rsidRPr="002C3EFA">
        <w:rPr>
          <w:rFonts w:ascii="Calibri" w:hAnsi="Calibri" w:hint="eastAsia"/>
          <w:color w:val="000000"/>
          <w:sz w:val="24"/>
        </w:rPr>
        <w:t xml:space="preserve"> </w:t>
      </w:r>
      <w:r w:rsidRPr="002C3EFA">
        <w:rPr>
          <w:rFonts w:ascii="Calibri" w:hAnsi="Calibri" w:hint="eastAsia"/>
          <w:color w:val="000000"/>
          <w:sz w:val="24"/>
        </w:rPr>
        <w:t>第四部分</w:t>
      </w:r>
      <w:r w:rsidRPr="002C3EFA">
        <w:rPr>
          <w:rFonts w:ascii="Calibri" w:hAnsi="Calibri" w:hint="eastAsia"/>
          <w:color w:val="000000"/>
          <w:sz w:val="24"/>
        </w:rPr>
        <w:t xml:space="preserve"> </w:t>
      </w:r>
      <w:r w:rsidRPr="002C3EFA">
        <w:rPr>
          <w:rFonts w:ascii="Calibri" w:hAnsi="Calibri" w:hint="eastAsia"/>
          <w:color w:val="000000"/>
          <w:sz w:val="24"/>
        </w:rPr>
        <w:t>结构防水（一）图册相关附属结构内容。</w:t>
      </w:r>
    </w:p>
    <w:p w:rsidR="002C3EFA" w:rsidRPr="002C3EFA" w:rsidRDefault="002C3EFA" w:rsidP="002C3EFA">
      <w:pPr>
        <w:numPr>
          <w:ilvl w:val="0"/>
          <w:numId w:val="1"/>
        </w:numPr>
        <w:spacing w:line="360" w:lineRule="auto"/>
        <w:rPr>
          <w:rFonts w:ascii="Calibri" w:hAnsi="Calibri" w:hint="eastAsia"/>
          <w:sz w:val="24"/>
        </w:rPr>
      </w:pPr>
      <w:r>
        <w:rPr>
          <w:rFonts w:ascii="Calibri" w:hAnsi="Calibri" w:hint="eastAsia"/>
          <w:sz w:val="24"/>
        </w:rPr>
        <w:t>出入口平台地面做法建筑施工图做法与装修施工图做法不一致：</w:t>
      </w:r>
      <w:r w:rsidRPr="002C3EFA">
        <w:rPr>
          <w:rFonts w:ascii="Calibri" w:hAnsi="Calibri" w:hint="eastAsia"/>
          <w:sz w:val="24"/>
        </w:rPr>
        <w:t>出入口平台地面按装修施工图采用防滑地砖，做法详见</w:t>
      </w:r>
      <w:r w:rsidRPr="002C3EFA">
        <w:rPr>
          <w:rFonts w:ascii="Calibri" w:hAnsi="Calibri"/>
          <w:sz w:val="24"/>
        </w:rPr>
        <w:t>JYD·04·19-S-JZ-01·04·04-009</w:t>
      </w:r>
      <w:r w:rsidRPr="002C3EFA">
        <w:rPr>
          <w:rFonts w:ascii="Calibri" w:hAnsi="Calibri" w:hint="eastAsia"/>
          <w:sz w:val="24"/>
        </w:rPr>
        <w:t>大样图</w:t>
      </w:r>
      <w:r w:rsidRPr="002C3EFA">
        <w:rPr>
          <w:rFonts w:ascii="Calibri" w:hAnsi="Calibri" w:hint="eastAsia"/>
          <w:sz w:val="24"/>
        </w:rPr>
        <w:t>3-</w:t>
      </w:r>
      <w:r w:rsidRPr="002C3EFA">
        <w:rPr>
          <w:rFonts w:ascii="Calibri" w:hAnsi="Calibri" w:hint="eastAsia"/>
          <w:sz w:val="24"/>
        </w:rPr>
        <w:t>地面瓷砖剖面大样图。</w:t>
      </w:r>
    </w:p>
    <w:p w:rsidR="002C3EFA" w:rsidRDefault="002C3EFA" w:rsidP="002C3EFA">
      <w:pPr>
        <w:numPr>
          <w:ilvl w:val="0"/>
          <w:numId w:val="1"/>
        </w:numPr>
        <w:spacing w:line="360" w:lineRule="auto"/>
        <w:rPr>
          <w:rFonts w:ascii="Calibri" w:hAnsi="Calibri"/>
          <w:sz w:val="24"/>
        </w:rPr>
      </w:pPr>
      <w:r>
        <w:rPr>
          <w:rFonts w:ascii="宋体" w:hAnsi="宋体" w:cs="宋体" w:hint="eastAsia"/>
          <w:sz w:val="22"/>
        </w:rPr>
        <w:t>修改</w:t>
      </w:r>
      <w:r>
        <w:rPr>
          <w:rFonts w:ascii="宋体" w:hAnsi="宋体" w:cs="宋体"/>
          <w:sz w:val="22"/>
        </w:rPr>
        <w:t>JYD·04·19-S-JZ-01·04·04-00</w:t>
      </w:r>
      <w:r>
        <w:rPr>
          <w:rFonts w:ascii="宋体" w:hAnsi="宋体" w:cs="宋体" w:hint="eastAsia"/>
          <w:sz w:val="22"/>
        </w:rPr>
        <w:t>2</w:t>
      </w:r>
      <w:r>
        <w:rPr>
          <w:rFonts w:ascii="Calibri" w:hAnsi="Calibri" w:hint="eastAsia"/>
          <w:sz w:val="24"/>
        </w:rPr>
        <w:t>图中，室外台阶栏杆、平台栏杆做法：</w:t>
      </w:r>
    </w:p>
    <w:p w:rsidR="002C3EFA" w:rsidRDefault="002C3EFA" w:rsidP="002C3EFA">
      <w:pPr>
        <w:pStyle w:val="a7"/>
        <w:spacing w:beforeAutospacing="0" w:afterAutospacing="0"/>
        <w:rPr>
          <w:sz w:val="22"/>
          <w:szCs w:val="22"/>
        </w:rPr>
      </w:pPr>
      <w:r>
        <w:rPr>
          <w:rFonts w:ascii="Calibri" w:hAnsi="Calibri" w:hint="eastAsia"/>
          <w:noProof/>
        </w:rPr>
        <w:drawing>
          <wp:anchor distT="0" distB="0" distL="114300" distR="114300" simplePos="0" relativeHeight="251660288" behindDoc="0" locked="0" layoutInCell="1" allowOverlap="1">
            <wp:simplePos x="0" y="0"/>
            <wp:positionH relativeFrom="column">
              <wp:posOffset>852170</wp:posOffset>
            </wp:positionH>
            <wp:positionV relativeFrom="paragraph">
              <wp:posOffset>53340</wp:posOffset>
            </wp:positionV>
            <wp:extent cx="2879725" cy="2463165"/>
            <wp:effectExtent l="19050" t="0" r="0" b="0"/>
            <wp:wrapNone/>
            <wp:docPr id="19" name="图片 4" descr="1645432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645432013(1)"/>
                    <pic:cNvPicPr>
                      <a:picLocks noChangeAspect="1" noChangeArrowheads="1"/>
                    </pic:cNvPicPr>
                  </pic:nvPicPr>
                  <pic:blipFill>
                    <a:blip r:embed="rId10"/>
                    <a:srcRect/>
                    <a:stretch>
                      <a:fillRect/>
                    </a:stretch>
                  </pic:blipFill>
                  <pic:spPr bwMode="auto">
                    <a:xfrm>
                      <a:off x="0" y="0"/>
                      <a:ext cx="2879725" cy="2463165"/>
                    </a:xfrm>
                    <a:prstGeom prst="rect">
                      <a:avLst/>
                    </a:prstGeom>
                    <a:noFill/>
                    <a:ln w="9525" cmpd="sng">
                      <a:noFill/>
                      <a:miter lim="800000"/>
                      <a:headEnd/>
                      <a:tailEnd/>
                    </a:ln>
                    <a:effectLst/>
                  </pic:spPr>
                </pic:pic>
              </a:graphicData>
            </a:graphic>
          </wp:anchor>
        </w:drawing>
      </w:r>
    </w:p>
    <w:p w:rsidR="002C3EFA" w:rsidRDefault="002C3EFA" w:rsidP="002C3EFA">
      <w:pPr>
        <w:pStyle w:val="a7"/>
        <w:spacing w:beforeAutospacing="0" w:afterAutospacing="0"/>
        <w:rPr>
          <w:sz w:val="22"/>
          <w:szCs w:val="22"/>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Default="002C3EFA" w:rsidP="002C3EFA">
      <w:pPr>
        <w:spacing w:line="360" w:lineRule="auto"/>
        <w:rPr>
          <w:rFonts w:ascii="Calibri" w:hAnsi="Calibri" w:hint="eastAsia"/>
          <w:sz w:val="24"/>
        </w:rPr>
      </w:pPr>
    </w:p>
    <w:p w:rsidR="002C3EFA" w:rsidRPr="002C3EFA" w:rsidRDefault="002C3EFA" w:rsidP="002C3EFA">
      <w:pPr>
        <w:spacing w:line="360" w:lineRule="auto"/>
        <w:rPr>
          <w:rFonts w:ascii="Calibri" w:eastAsia="宋体" w:hAnsi="Calibri" w:hint="eastAsia"/>
          <w:sz w:val="24"/>
        </w:rPr>
      </w:pPr>
      <w:r>
        <w:rPr>
          <w:rFonts w:ascii="Calibri" w:hAnsi="Calibri" w:hint="eastAsia"/>
          <w:sz w:val="24"/>
        </w:rPr>
        <w:t>9</w:t>
      </w:r>
      <w:r>
        <w:rPr>
          <w:rFonts w:ascii="Calibri" w:hAnsi="Calibri" w:hint="eastAsia"/>
          <w:sz w:val="24"/>
        </w:rPr>
        <w:t>、楼地面做法表中地砖做法与地面铺装节点大样图不一致：室内地面铺装以下图中的设计说明为准。</w:t>
      </w:r>
    </w:p>
    <w:p w:rsidR="002C3EFA" w:rsidRDefault="002C3EFA" w:rsidP="002C3EFA">
      <w:pPr>
        <w:spacing w:line="360" w:lineRule="auto"/>
        <w:rPr>
          <w:rFonts w:ascii="Calibri" w:hAnsi="Calibri" w:hint="eastAsia"/>
          <w:sz w:val="24"/>
        </w:rPr>
      </w:pPr>
      <w:r>
        <w:rPr>
          <w:rFonts w:ascii="Calibri" w:hAnsi="Calibri" w:hint="eastAsia"/>
          <w:noProof/>
          <w:sz w:val="24"/>
        </w:rPr>
        <w:drawing>
          <wp:inline distT="0" distB="0" distL="0" distR="0">
            <wp:extent cx="6200775" cy="1819275"/>
            <wp:effectExtent l="19050" t="0" r="9525" b="0"/>
            <wp:docPr id="17" name="图片 15" descr="1645511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1645511184(1)"/>
                    <pic:cNvPicPr>
                      <a:picLocks noChangeAspect="1" noChangeArrowheads="1"/>
                    </pic:cNvPicPr>
                  </pic:nvPicPr>
                  <pic:blipFill>
                    <a:blip r:embed="rId11"/>
                    <a:srcRect/>
                    <a:stretch>
                      <a:fillRect/>
                    </a:stretch>
                  </pic:blipFill>
                  <pic:spPr bwMode="auto">
                    <a:xfrm>
                      <a:off x="0" y="0"/>
                      <a:ext cx="6200775" cy="1819275"/>
                    </a:xfrm>
                    <a:prstGeom prst="rect">
                      <a:avLst/>
                    </a:prstGeom>
                    <a:noFill/>
                    <a:ln w="9525">
                      <a:noFill/>
                      <a:miter lim="800000"/>
                      <a:headEnd/>
                      <a:tailEnd/>
                    </a:ln>
                  </pic:spPr>
                </pic:pic>
              </a:graphicData>
            </a:graphic>
          </wp:inline>
        </w:drawing>
      </w:r>
    </w:p>
    <w:p w:rsidR="002C3EFA" w:rsidRDefault="002C3EFA" w:rsidP="002C3EFA">
      <w:pPr>
        <w:spacing w:line="360" w:lineRule="auto"/>
        <w:rPr>
          <w:rFonts w:ascii="Calibri" w:hAnsi="Calibri"/>
          <w:sz w:val="24"/>
        </w:rPr>
      </w:pPr>
      <w:r>
        <w:rPr>
          <w:rFonts w:ascii="Calibri" w:hAnsi="Calibri" w:hint="eastAsia"/>
          <w:sz w:val="24"/>
        </w:rPr>
        <w:t>10</w:t>
      </w:r>
      <w:r>
        <w:rPr>
          <w:rFonts w:ascii="Calibri" w:hAnsi="Calibri" w:hint="eastAsia"/>
          <w:sz w:val="24"/>
        </w:rPr>
        <w:t>、地面铺装节点大样图中地面盲道，铺装总厚度小于站厅层地面铺装厚度：需要增加垫层，通道内地面与站厅地面做统一高度。</w:t>
      </w:r>
    </w:p>
    <w:p w:rsidR="002C3EFA" w:rsidRPr="002C3EFA" w:rsidRDefault="002C3EFA" w:rsidP="002C3EFA">
      <w:pPr>
        <w:spacing w:line="360" w:lineRule="auto"/>
        <w:rPr>
          <w:rFonts w:ascii="Calibri" w:eastAsia="宋体" w:hAnsi="Calibri"/>
          <w:sz w:val="24"/>
        </w:rPr>
      </w:pPr>
      <w:r>
        <w:rPr>
          <w:rFonts w:ascii="Calibri" w:hAnsi="Calibri" w:hint="eastAsia"/>
          <w:sz w:val="24"/>
        </w:rPr>
        <w:t>11</w:t>
      </w:r>
      <w:r>
        <w:rPr>
          <w:rFonts w:ascii="Calibri" w:hAnsi="Calibri" w:hint="eastAsia"/>
          <w:sz w:val="24"/>
        </w:rPr>
        <w:t>、补充止灰带的具体布置图、止灰带截面尺寸图：截面尺寸为</w:t>
      </w:r>
      <w:r>
        <w:rPr>
          <w:rFonts w:ascii="Calibri" w:hAnsi="Calibri" w:hint="eastAsia"/>
          <w:sz w:val="24"/>
        </w:rPr>
        <w:t>1</w:t>
      </w:r>
      <w:r>
        <w:rPr>
          <w:rFonts w:ascii="Calibri" w:hAnsi="Calibri"/>
          <w:sz w:val="24"/>
        </w:rPr>
        <w:t>50</w:t>
      </w:r>
      <w:r>
        <w:rPr>
          <w:rFonts w:ascii="Calibri" w:hAnsi="Calibri" w:hint="eastAsia"/>
          <w:sz w:val="24"/>
        </w:rPr>
        <w:t>mm*</w:t>
      </w:r>
      <w:r>
        <w:rPr>
          <w:rFonts w:ascii="Calibri" w:hAnsi="Calibri"/>
          <w:sz w:val="24"/>
        </w:rPr>
        <w:t>150</w:t>
      </w:r>
      <w:r>
        <w:rPr>
          <w:rFonts w:ascii="Calibri" w:hAnsi="Calibri" w:hint="eastAsia"/>
          <w:sz w:val="24"/>
        </w:rPr>
        <w:t>mm</w:t>
      </w:r>
      <w:r>
        <w:rPr>
          <w:rFonts w:ascii="Calibri" w:hAnsi="Calibri" w:hint="eastAsia"/>
          <w:sz w:val="24"/>
        </w:rPr>
        <w:t>。</w:t>
      </w:r>
    </w:p>
    <w:p w:rsidR="002C3EFA" w:rsidRDefault="002C3EFA" w:rsidP="002C3EFA">
      <w:pPr>
        <w:spacing w:line="360" w:lineRule="auto"/>
        <w:rPr>
          <w:lang w:val="en-US" w:eastAsia="zh-CN"/>
        </w:rPr>
      </w:pPr>
      <w:r>
        <w:rPr>
          <w:noProof/>
        </w:rPr>
        <w:lastRenderedPageBreak/>
        <w:drawing>
          <wp:inline distT="0" distB="0" distL="0" distR="0">
            <wp:extent cx="3581400" cy="3009900"/>
            <wp:effectExtent l="1905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srcRect/>
                    <a:stretch>
                      <a:fillRect/>
                    </a:stretch>
                  </pic:blipFill>
                  <pic:spPr bwMode="auto">
                    <a:xfrm>
                      <a:off x="0" y="0"/>
                      <a:ext cx="3581400" cy="3009900"/>
                    </a:xfrm>
                    <a:prstGeom prst="rect">
                      <a:avLst/>
                    </a:prstGeom>
                    <a:noFill/>
                    <a:ln w="9525" cmpd="sng">
                      <a:noFill/>
                      <a:miter lim="800000"/>
                      <a:headEnd/>
                      <a:tailEnd/>
                    </a:ln>
                  </pic:spPr>
                </pic:pic>
              </a:graphicData>
            </a:graphic>
          </wp:inline>
        </w:drawing>
      </w:r>
    </w:p>
    <w:p w:rsidR="002C3EFA" w:rsidRPr="002C3EFA" w:rsidRDefault="002C3EFA" w:rsidP="002C3EFA">
      <w:pPr>
        <w:spacing w:line="360" w:lineRule="auto"/>
        <w:rPr>
          <w:rFonts w:ascii="Calibri" w:eastAsia="宋体" w:hAnsi="Calibri"/>
          <w:sz w:val="24"/>
        </w:rPr>
      </w:pPr>
      <w:r>
        <w:rPr>
          <w:rFonts w:ascii="Calibri" w:hAnsi="Calibri" w:hint="eastAsia"/>
          <w:sz w:val="24"/>
        </w:rPr>
        <w:t>12</w:t>
      </w:r>
      <w:r>
        <w:rPr>
          <w:rFonts w:ascii="Calibri" w:hAnsi="Calibri" w:hint="eastAsia"/>
          <w:sz w:val="24"/>
        </w:rPr>
        <w:t>、休息平台止灰带建筑施工图中大样图中做法与装修施工图中的大样图做法不一致：以装修施工图为准。</w:t>
      </w:r>
    </w:p>
    <w:p w:rsidR="002C3EFA" w:rsidRPr="002C3EFA" w:rsidRDefault="002C3EFA" w:rsidP="002C3EFA">
      <w:pPr>
        <w:spacing w:line="360" w:lineRule="auto"/>
        <w:rPr>
          <w:rFonts w:eastAsia="宋体" w:hint="eastAsia"/>
          <w:sz w:val="24"/>
        </w:rPr>
      </w:pPr>
      <w:r>
        <w:rPr>
          <w:rFonts w:hint="eastAsia"/>
          <w:sz w:val="24"/>
        </w:rPr>
        <w:t>13</w:t>
      </w:r>
      <w:r>
        <w:rPr>
          <w:rFonts w:hint="eastAsia"/>
          <w:sz w:val="24"/>
        </w:rPr>
        <w:t>、补充接驳道路排水沟做法：排水沟采用</w:t>
      </w:r>
      <w:r>
        <w:rPr>
          <w:rFonts w:hint="eastAsia"/>
          <w:sz w:val="24"/>
        </w:rPr>
        <w:t>1:</w:t>
      </w:r>
      <w:r>
        <w:rPr>
          <w:sz w:val="24"/>
        </w:rPr>
        <w:t>2</w:t>
      </w:r>
      <w:r>
        <w:rPr>
          <w:rFonts w:hint="eastAsia"/>
          <w:sz w:val="24"/>
        </w:rPr>
        <w:t>水泥砂浆抹平。</w:t>
      </w:r>
    </w:p>
    <w:p w:rsidR="002C3EFA" w:rsidRDefault="002C3EFA" w:rsidP="002C3EFA">
      <w:pPr>
        <w:spacing w:line="360" w:lineRule="auto"/>
        <w:jc w:val="left"/>
        <w:rPr>
          <w:sz w:val="24"/>
        </w:rPr>
      </w:pPr>
      <w:r>
        <w:rPr>
          <w:noProof/>
        </w:rPr>
        <w:drawing>
          <wp:inline distT="0" distB="0" distL="0" distR="0">
            <wp:extent cx="2495550" cy="1400175"/>
            <wp:effectExtent l="19050" t="0" r="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srcRect/>
                    <a:stretch>
                      <a:fillRect/>
                    </a:stretch>
                  </pic:blipFill>
                  <pic:spPr bwMode="auto">
                    <a:xfrm>
                      <a:off x="0" y="0"/>
                      <a:ext cx="2495550" cy="1400175"/>
                    </a:xfrm>
                    <a:prstGeom prst="rect">
                      <a:avLst/>
                    </a:prstGeom>
                    <a:noFill/>
                    <a:ln w="9525" cmpd="sng">
                      <a:noFill/>
                      <a:miter lim="800000"/>
                      <a:headEnd/>
                      <a:tailEnd/>
                    </a:ln>
                  </pic:spPr>
                </pic:pic>
              </a:graphicData>
            </a:graphic>
          </wp:inline>
        </w:drawing>
      </w:r>
    </w:p>
    <w:p w:rsidR="002C3EFA" w:rsidRDefault="002C3EFA" w:rsidP="002C3EFA">
      <w:pPr>
        <w:spacing w:line="360" w:lineRule="auto"/>
        <w:rPr>
          <w:rFonts w:eastAsia="Times New Roman" w:hint="eastAsia"/>
          <w:sz w:val="24"/>
        </w:rPr>
      </w:pPr>
    </w:p>
    <w:p w:rsidR="002C3EFA" w:rsidRPr="002C3EFA" w:rsidRDefault="002C3EFA" w:rsidP="002C3EFA">
      <w:pPr>
        <w:pStyle w:val="a7"/>
        <w:spacing w:beforeAutospacing="0" w:afterAutospacing="0"/>
        <w:rPr>
          <w:rFonts w:eastAsia="宋体"/>
        </w:rPr>
      </w:pPr>
      <w:r>
        <w:rPr>
          <w:rFonts w:hint="eastAsia"/>
        </w:rPr>
        <w:t>14</w:t>
      </w:r>
      <w:r>
        <w:rPr>
          <w:rFonts w:hint="eastAsia"/>
        </w:rPr>
        <w:t>、明确</w:t>
      </w:r>
      <w:r>
        <w:rPr>
          <w:sz w:val="22"/>
          <w:szCs w:val="22"/>
        </w:rPr>
        <w:t>FG02</w:t>
      </w:r>
      <w:r>
        <w:rPr>
          <w:rFonts w:hint="eastAsia"/>
        </w:rPr>
        <w:t>编号</w:t>
      </w:r>
      <w:r>
        <w:rPr>
          <w:sz w:val="22"/>
          <w:szCs w:val="22"/>
        </w:rPr>
        <w:t>LED</w:t>
      </w:r>
      <w:r>
        <w:rPr>
          <w:sz w:val="22"/>
          <w:szCs w:val="22"/>
        </w:rPr>
        <w:t>铝型材条形灯</w:t>
      </w:r>
      <w:r>
        <w:rPr>
          <w:sz w:val="22"/>
          <w:szCs w:val="22"/>
        </w:rPr>
        <w:t>(150mm)</w:t>
      </w:r>
      <w:r>
        <w:rPr>
          <w:rFonts w:hint="eastAsia"/>
          <w:sz w:val="22"/>
          <w:szCs w:val="22"/>
        </w:rPr>
        <w:t>的尺寸：</w:t>
      </w:r>
      <w:r>
        <w:rPr>
          <w:rFonts w:hint="eastAsia"/>
        </w:rPr>
        <w:t>采用</w:t>
      </w:r>
      <w:r>
        <w:rPr>
          <w:rFonts w:hint="eastAsia"/>
        </w:rPr>
        <w:t>1</w:t>
      </w:r>
      <w:r>
        <w:t>200</w:t>
      </w:r>
      <w:r>
        <w:rPr>
          <w:rFonts w:hint="eastAsia"/>
        </w:rPr>
        <w:t>*</w:t>
      </w:r>
      <w:r>
        <w:t>200</w:t>
      </w:r>
      <w:r>
        <w:rPr>
          <w:rFonts w:hint="eastAsia"/>
        </w:rPr>
        <w:t>。</w:t>
      </w:r>
    </w:p>
    <w:p w:rsidR="002C3EFA" w:rsidRDefault="002C3EFA" w:rsidP="002C3EFA">
      <w:pPr>
        <w:spacing w:line="360" w:lineRule="auto"/>
        <w:jc w:val="left"/>
        <w:rPr>
          <w:rFonts w:hint="eastAsia"/>
          <w:sz w:val="24"/>
        </w:rPr>
      </w:pPr>
      <w:r>
        <w:rPr>
          <w:rFonts w:ascii="宋体" w:hAnsi="宋体" w:hint="eastAsia"/>
          <w:sz w:val="24"/>
        </w:rPr>
        <w:t>15、明确</w:t>
      </w:r>
      <w:r>
        <w:rPr>
          <w:rFonts w:hint="eastAsia"/>
          <w:sz w:val="24"/>
        </w:rPr>
        <w:t>电气工程中配电箱系统图配管的敷设方式：</w:t>
      </w:r>
      <w:r>
        <w:rPr>
          <w:sz w:val="24"/>
        </w:rPr>
        <w:t>管线吊顶内明</w:t>
      </w:r>
      <w:r>
        <w:rPr>
          <w:rFonts w:hint="eastAsia"/>
          <w:sz w:val="24"/>
        </w:rPr>
        <w:t>装。</w:t>
      </w:r>
    </w:p>
    <w:p w:rsidR="002C3EFA" w:rsidRDefault="002C3EFA" w:rsidP="002C3EFA">
      <w:pPr>
        <w:spacing w:line="360" w:lineRule="auto"/>
        <w:jc w:val="left"/>
        <w:rPr>
          <w:rFonts w:eastAsia="宋体"/>
          <w:sz w:val="24"/>
        </w:rPr>
      </w:pPr>
      <w:r>
        <w:rPr>
          <w:rFonts w:hint="eastAsia"/>
          <w:sz w:val="24"/>
        </w:rPr>
        <w:t>16</w:t>
      </w:r>
      <w:r>
        <w:rPr>
          <w:rFonts w:hint="eastAsia"/>
          <w:sz w:val="24"/>
        </w:rPr>
        <w:t>、调整应急照明和疏散标志灯回路的配管、配线：以下图</w:t>
      </w:r>
      <w:r>
        <w:rPr>
          <w:sz w:val="24"/>
        </w:rPr>
        <w:t>材料表规格为准</w:t>
      </w:r>
    </w:p>
    <w:p w:rsidR="002C3EFA" w:rsidRDefault="002C3EFA" w:rsidP="002C3EFA">
      <w:pPr>
        <w:spacing w:line="360" w:lineRule="auto"/>
      </w:pPr>
      <w:r>
        <w:rPr>
          <w:noProof/>
        </w:rPr>
        <w:drawing>
          <wp:inline distT="0" distB="0" distL="0" distR="0">
            <wp:extent cx="6200775" cy="942975"/>
            <wp:effectExtent l="1905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4"/>
                    <a:srcRect/>
                    <a:stretch>
                      <a:fillRect/>
                    </a:stretch>
                  </pic:blipFill>
                  <pic:spPr bwMode="auto">
                    <a:xfrm>
                      <a:off x="0" y="0"/>
                      <a:ext cx="6200775" cy="942975"/>
                    </a:xfrm>
                    <a:prstGeom prst="rect">
                      <a:avLst/>
                    </a:prstGeom>
                    <a:noFill/>
                    <a:ln w="9525" cmpd="sng">
                      <a:noFill/>
                      <a:miter lim="800000"/>
                      <a:headEnd/>
                      <a:tailEnd/>
                    </a:ln>
                  </pic:spPr>
                </pic:pic>
              </a:graphicData>
            </a:graphic>
          </wp:inline>
        </w:drawing>
      </w:r>
    </w:p>
    <w:p w:rsidR="00673436" w:rsidRPr="002C3EFA" w:rsidRDefault="002C3EFA" w:rsidP="002C3EFA">
      <w:pPr>
        <w:spacing w:line="360" w:lineRule="auto"/>
        <w:jc w:val="left"/>
        <w:rPr>
          <w:rFonts w:eastAsia="宋体"/>
          <w:sz w:val="24"/>
        </w:rPr>
      </w:pPr>
      <w:r>
        <w:rPr>
          <w:rFonts w:ascii="宋体" w:hAnsi="宋体" w:hint="eastAsia"/>
          <w:sz w:val="24"/>
        </w:rPr>
        <w:t>17、明确AB出入口</w:t>
      </w:r>
      <w:r>
        <w:rPr>
          <w:rFonts w:hint="eastAsia"/>
          <w:sz w:val="24"/>
        </w:rPr>
        <w:t>灯具的安装方式：</w:t>
      </w:r>
      <w:r>
        <w:rPr>
          <w:sz w:val="24"/>
        </w:rPr>
        <w:t>出入口灯具为嵌入式安装，疏散照明灯具采用壁式安装方式。</w:t>
      </w:r>
    </w:p>
    <w:p w:rsidR="00DE443D" w:rsidRPr="00A335E7" w:rsidRDefault="00DE443D" w:rsidP="00DE443D">
      <w:pPr>
        <w:pStyle w:val="a4"/>
        <w:spacing w:line="360" w:lineRule="auto"/>
        <w:ind w:firstLineChars="1650" w:firstLine="4620"/>
        <w:jc w:val="center"/>
        <w:rPr>
          <w:rFonts w:ascii="宋体" w:hAnsi="宋体"/>
          <w:b/>
          <w:sz w:val="32"/>
          <w:szCs w:val="32"/>
        </w:rPr>
      </w:pPr>
      <w:bookmarkStart w:id="0" w:name="_GoBack"/>
      <w:bookmarkEnd w:id="0"/>
      <w:r w:rsidRPr="00A335E7">
        <w:rPr>
          <w:rFonts w:hint="eastAsia"/>
          <w:sz w:val="28"/>
          <w:szCs w:val="28"/>
        </w:rPr>
        <w:t>金华市金义东轨道交通有限公司</w:t>
      </w:r>
    </w:p>
    <w:p w:rsidR="001D65FA" w:rsidRDefault="00940A1B" w:rsidP="002C3EFA">
      <w:pPr>
        <w:pStyle w:val="a4"/>
        <w:spacing w:line="360" w:lineRule="auto"/>
        <w:ind w:firstLineChars="1650" w:firstLine="4620"/>
        <w:jc w:val="center"/>
        <w:rPr>
          <w:rStyle w:val="a8"/>
          <w:b w:val="0"/>
          <w:sz w:val="28"/>
          <w:szCs w:val="28"/>
        </w:rPr>
      </w:pPr>
      <w:r w:rsidRPr="00A335E7">
        <w:rPr>
          <w:sz w:val="28"/>
          <w:szCs w:val="28"/>
        </w:rPr>
        <w:t>202</w:t>
      </w:r>
      <w:r w:rsidRPr="00A335E7">
        <w:rPr>
          <w:rFonts w:hint="eastAsia"/>
          <w:sz w:val="28"/>
          <w:szCs w:val="28"/>
        </w:rPr>
        <w:t>2</w:t>
      </w:r>
      <w:r w:rsidRPr="00A335E7">
        <w:rPr>
          <w:rFonts w:hint="eastAsia"/>
          <w:sz w:val="28"/>
          <w:szCs w:val="28"/>
        </w:rPr>
        <w:t>年</w:t>
      </w:r>
      <w:r w:rsidRPr="00A335E7">
        <w:rPr>
          <w:rFonts w:hint="eastAsia"/>
          <w:sz w:val="28"/>
          <w:szCs w:val="28"/>
        </w:rPr>
        <w:t>4</w:t>
      </w:r>
      <w:r w:rsidRPr="00A335E7">
        <w:rPr>
          <w:rFonts w:hint="eastAsia"/>
          <w:sz w:val="28"/>
          <w:szCs w:val="28"/>
        </w:rPr>
        <w:t>月</w:t>
      </w:r>
      <w:r w:rsidR="00C20573" w:rsidRPr="00A335E7">
        <w:rPr>
          <w:rFonts w:hint="eastAsia"/>
          <w:sz w:val="28"/>
          <w:szCs w:val="28"/>
        </w:rPr>
        <w:t>6</w:t>
      </w:r>
      <w:r w:rsidRPr="00A335E7">
        <w:rPr>
          <w:rFonts w:hint="eastAsia"/>
          <w:sz w:val="28"/>
          <w:szCs w:val="28"/>
        </w:rPr>
        <w:t>日</w:t>
      </w:r>
    </w:p>
    <w:sectPr w:rsidR="001D65FA" w:rsidSect="00A335E7">
      <w:footerReference w:type="default" r:id="rId15"/>
      <w:pgSz w:w="11906" w:h="16838"/>
      <w:pgMar w:top="1134" w:right="1134" w:bottom="1134" w:left="1134"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6D7" w:rsidRDefault="007776D7" w:rsidP="00DE443D">
      <w:r>
        <w:separator/>
      </w:r>
    </w:p>
  </w:endnote>
  <w:endnote w:type="continuationSeparator" w:id="1">
    <w:p w:rsidR="007776D7" w:rsidRDefault="007776D7" w:rsidP="00DE44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398"/>
      <w:docPartObj>
        <w:docPartGallery w:val="Page Numbers (Bottom of Page)"/>
        <w:docPartUnique/>
      </w:docPartObj>
    </w:sdtPr>
    <w:sdtContent>
      <w:p w:rsidR="00A335E7" w:rsidRDefault="001E7B14">
        <w:pPr>
          <w:pStyle w:val="aa"/>
          <w:jc w:val="right"/>
        </w:pPr>
        <w:fldSimple w:instr=" PAGE   \* MERGEFORMAT ">
          <w:r w:rsidR="00FE1F79" w:rsidRPr="00FE1F79">
            <w:rPr>
              <w:noProof/>
              <w:lang w:val="zh-CN"/>
            </w:rPr>
            <w:t>1</w:t>
          </w:r>
        </w:fldSimple>
      </w:p>
    </w:sdtContent>
  </w:sdt>
  <w:p w:rsidR="00A335E7" w:rsidRDefault="00A335E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6D7" w:rsidRDefault="007776D7" w:rsidP="00DE443D">
      <w:r>
        <w:separator/>
      </w:r>
    </w:p>
  </w:footnote>
  <w:footnote w:type="continuationSeparator" w:id="1">
    <w:p w:rsidR="007776D7" w:rsidRDefault="007776D7" w:rsidP="00DE44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C16BE0"/>
    <w:multiLevelType w:val="singleLevel"/>
    <w:tmpl w:val="BEC16BE0"/>
    <w:lvl w:ilvl="0">
      <w:start w:val="2"/>
      <w:numFmt w:val="decimal"/>
      <w:suff w:val="nothing"/>
      <w:lvlText w:val="%1、"/>
      <w:lvlJc w:val="left"/>
    </w:lvl>
  </w:abstractNum>
  <w:abstractNum w:abstractNumId="1">
    <w:nsid w:val="E67A6109"/>
    <w:multiLevelType w:val="singleLevel"/>
    <w:tmpl w:val="E67A6109"/>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2831B7"/>
    <w:rsid w:val="000277F5"/>
    <w:rsid w:val="0006142C"/>
    <w:rsid w:val="00144911"/>
    <w:rsid w:val="001D65FA"/>
    <w:rsid w:val="001E7B14"/>
    <w:rsid w:val="002C3EFA"/>
    <w:rsid w:val="002F4CC0"/>
    <w:rsid w:val="00323307"/>
    <w:rsid w:val="003A267E"/>
    <w:rsid w:val="00574070"/>
    <w:rsid w:val="0066430A"/>
    <w:rsid w:val="00673436"/>
    <w:rsid w:val="00686B7D"/>
    <w:rsid w:val="007776D7"/>
    <w:rsid w:val="007E7EB1"/>
    <w:rsid w:val="008526D0"/>
    <w:rsid w:val="008B54A6"/>
    <w:rsid w:val="008D6002"/>
    <w:rsid w:val="00940A1B"/>
    <w:rsid w:val="009523B8"/>
    <w:rsid w:val="00953E54"/>
    <w:rsid w:val="00A335E7"/>
    <w:rsid w:val="00A501AF"/>
    <w:rsid w:val="00A767B0"/>
    <w:rsid w:val="00AC5E00"/>
    <w:rsid w:val="00B6659C"/>
    <w:rsid w:val="00C20573"/>
    <w:rsid w:val="00D3731A"/>
    <w:rsid w:val="00DB5F91"/>
    <w:rsid w:val="00DE443D"/>
    <w:rsid w:val="00F53069"/>
    <w:rsid w:val="00F57308"/>
    <w:rsid w:val="00FE1F79"/>
    <w:rsid w:val="02DC1CD1"/>
    <w:rsid w:val="062D2DD4"/>
    <w:rsid w:val="0D201BC3"/>
    <w:rsid w:val="1B201AA3"/>
    <w:rsid w:val="23282410"/>
    <w:rsid w:val="3DC07D04"/>
    <w:rsid w:val="45E84F78"/>
    <w:rsid w:val="540503FE"/>
    <w:rsid w:val="543E33BC"/>
    <w:rsid w:val="68DB4E2C"/>
    <w:rsid w:val="7C2831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uiPriority="11"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D65F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D65FA"/>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1D65FA"/>
    <w:pPr>
      <w:spacing w:beforeLines="50" w:afterLines="50" w:line="400" w:lineRule="exact"/>
    </w:pPr>
    <w:rPr>
      <w:rFonts w:ascii="宋体" w:hAnsi="Courier New"/>
      <w:sz w:val="24"/>
    </w:rPr>
  </w:style>
  <w:style w:type="paragraph" w:styleId="a4">
    <w:name w:val="Normal Indent"/>
    <w:basedOn w:val="a"/>
    <w:link w:val="Char"/>
    <w:unhideWhenUsed/>
    <w:qFormat/>
    <w:rsid w:val="001D65FA"/>
    <w:pPr>
      <w:ind w:firstLine="420"/>
    </w:pPr>
    <w:rPr>
      <w:rFonts w:ascii="Times New Roman" w:eastAsia="宋体" w:hAnsi="Times New Roman" w:cs="Times New Roman"/>
      <w:kern w:val="0"/>
      <w:sz w:val="20"/>
    </w:rPr>
  </w:style>
  <w:style w:type="paragraph" w:styleId="a5">
    <w:name w:val="Date"/>
    <w:basedOn w:val="a"/>
    <w:next w:val="a"/>
    <w:link w:val="Char0"/>
    <w:qFormat/>
    <w:rsid w:val="001D65FA"/>
    <w:pPr>
      <w:ind w:leftChars="2500" w:left="100"/>
    </w:pPr>
  </w:style>
  <w:style w:type="paragraph" w:styleId="a6">
    <w:name w:val="Balloon Text"/>
    <w:basedOn w:val="a"/>
    <w:link w:val="Char1"/>
    <w:qFormat/>
    <w:rsid w:val="001D65FA"/>
    <w:rPr>
      <w:sz w:val="18"/>
      <w:szCs w:val="18"/>
    </w:rPr>
  </w:style>
  <w:style w:type="paragraph" w:styleId="a7">
    <w:name w:val="Normal (Web)"/>
    <w:basedOn w:val="a"/>
    <w:uiPriority w:val="99"/>
    <w:rsid w:val="001D65FA"/>
    <w:pPr>
      <w:spacing w:beforeAutospacing="1" w:afterAutospacing="1"/>
      <w:jc w:val="left"/>
    </w:pPr>
    <w:rPr>
      <w:rFonts w:cs="Times New Roman"/>
      <w:kern w:val="0"/>
      <w:sz w:val="24"/>
    </w:rPr>
  </w:style>
  <w:style w:type="character" w:styleId="a8">
    <w:name w:val="Strong"/>
    <w:basedOn w:val="a1"/>
    <w:qFormat/>
    <w:rsid w:val="001D65FA"/>
    <w:rPr>
      <w:b/>
    </w:rPr>
  </w:style>
  <w:style w:type="character" w:customStyle="1" w:styleId="Char">
    <w:name w:val="正文缩进 Char"/>
    <w:link w:val="a4"/>
    <w:locked/>
    <w:rsid w:val="001D65FA"/>
    <w:rPr>
      <w:szCs w:val="24"/>
    </w:rPr>
  </w:style>
  <w:style w:type="character" w:customStyle="1" w:styleId="Char0">
    <w:name w:val="日期 Char"/>
    <w:basedOn w:val="a1"/>
    <w:link w:val="a5"/>
    <w:rsid w:val="001D65FA"/>
    <w:rPr>
      <w:rFonts w:asciiTheme="minorHAnsi" w:eastAsiaTheme="minorEastAsia" w:hAnsiTheme="minorHAnsi" w:cstheme="minorBidi"/>
      <w:kern w:val="2"/>
      <w:sz w:val="21"/>
      <w:szCs w:val="24"/>
    </w:rPr>
  </w:style>
  <w:style w:type="character" w:customStyle="1" w:styleId="Char1">
    <w:name w:val="批注框文本 Char"/>
    <w:basedOn w:val="a1"/>
    <w:link w:val="a6"/>
    <w:qFormat/>
    <w:rsid w:val="001D65FA"/>
    <w:rPr>
      <w:rFonts w:asciiTheme="minorHAnsi" w:eastAsiaTheme="minorEastAsia" w:hAnsiTheme="minorHAnsi" w:cstheme="minorBidi"/>
      <w:kern w:val="2"/>
      <w:sz w:val="18"/>
      <w:szCs w:val="18"/>
    </w:rPr>
  </w:style>
  <w:style w:type="paragraph" w:styleId="a9">
    <w:name w:val="header"/>
    <w:basedOn w:val="a"/>
    <w:link w:val="Char2"/>
    <w:rsid w:val="00DE443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rsid w:val="00DE443D"/>
    <w:rPr>
      <w:rFonts w:asciiTheme="minorHAnsi" w:eastAsiaTheme="minorEastAsia" w:hAnsiTheme="minorHAnsi" w:cstheme="minorBidi"/>
      <w:kern w:val="2"/>
      <w:sz w:val="18"/>
      <w:szCs w:val="18"/>
    </w:rPr>
  </w:style>
  <w:style w:type="paragraph" w:styleId="aa">
    <w:name w:val="footer"/>
    <w:basedOn w:val="a"/>
    <w:link w:val="Char3"/>
    <w:uiPriority w:val="99"/>
    <w:rsid w:val="00DE443D"/>
    <w:pPr>
      <w:tabs>
        <w:tab w:val="center" w:pos="4153"/>
        <w:tab w:val="right" w:pos="8306"/>
      </w:tabs>
      <w:snapToGrid w:val="0"/>
      <w:jc w:val="left"/>
    </w:pPr>
    <w:rPr>
      <w:sz w:val="18"/>
      <w:szCs w:val="18"/>
    </w:rPr>
  </w:style>
  <w:style w:type="character" w:customStyle="1" w:styleId="Char3">
    <w:name w:val="页脚 Char"/>
    <w:basedOn w:val="a1"/>
    <w:link w:val="aa"/>
    <w:uiPriority w:val="99"/>
    <w:rsid w:val="00DE443D"/>
    <w:rPr>
      <w:rFonts w:asciiTheme="minorHAnsi" w:eastAsiaTheme="minorEastAsia" w:hAnsiTheme="minorHAnsi" w:cstheme="minorBidi"/>
      <w:kern w:val="2"/>
      <w:sz w:val="18"/>
      <w:szCs w:val="18"/>
    </w:rPr>
  </w:style>
  <w:style w:type="character" w:customStyle="1" w:styleId="Char4">
    <w:name w:val="副标题 Char"/>
    <w:link w:val="ab"/>
    <w:uiPriority w:val="11"/>
    <w:qFormat/>
    <w:rsid w:val="00C20573"/>
    <w:rPr>
      <w:rFonts w:ascii="Calibri Light" w:hAnsi="Calibri Light"/>
      <w:b/>
      <w:bCs/>
      <w:kern w:val="28"/>
      <w:sz w:val="32"/>
      <w:szCs w:val="32"/>
    </w:rPr>
  </w:style>
  <w:style w:type="paragraph" w:styleId="ab">
    <w:name w:val="Subtitle"/>
    <w:basedOn w:val="a"/>
    <w:next w:val="a"/>
    <w:link w:val="Char4"/>
    <w:uiPriority w:val="11"/>
    <w:qFormat/>
    <w:rsid w:val="00C20573"/>
    <w:pPr>
      <w:spacing w:before="240" w:after="60" w:line="312" w:lineRule="auto"/>
      <w:jc w:val="center"/>
      <w:outlineLvl w:val="1"/>
    </w:pPr>
    <w:rPr>
      <w:rFonts w:ascii="Calibri Light" w:eastAsia="宋体" w:hAnsi="Calibri Light" w:cs="Times New Roman"/>
      <w:b/>
      <w:bCs/>
      <w:kern w:val="28"/>
      <w:sz w:val="32"/>
      <w:szCs w:val="32"/>
    </w:rPr>
  </w:style>
  <w:style w:type="character" w:customStyle="1" w:styleId="Char10">
    <w:name w:val="副标题 Char1"/>
    <w:basedOn w:val="a1"/>
    <w:link w:val="ab"/>
    <w:rsid w:val="00C20573"/>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150</Words>
  <Characters>856</Characters>
  <Application>Microsoft Office Word</Application>
  <DocSecurity>0</DocSecurity>
  <Lines>7</Lines>
  <Paragraphs>2</Paragraphs>
  <ScaleCrop>false</ScaleCrop>
  <Company>jhmtr.net</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程孟芹</dc:creator>
  <cp:lastModifiedBy>PC</cp:lastModifiedBy>
  <cp:revision>19</cp:revision>
  <cp:lastPrinted>2022-04-07T08:01:00Z</cp:lastPrinted>
  <dcterms:created xsi:type="dcterms:W3CDTF">2021-10-12T02:34:00Z</dcterms:created>
  <dcterms:modified xsi:type="dcterms:W3CDTF">2022-04-07T08:07:00Z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15093AAC8D5D4CC2AD312F1AD9BA075D</vt:lpwstr>
  </property>
</Properties>
</file>